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137FE6E3" w:rsidR="00BA507B" w:rsidRPr="003C7C3F"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C7C3F" w:rsidRPr="003C7C3F">
        <w:rPr>
          <w:rFonts w:ascii="Times New Roman" w:hAnsi="Times New Roman" w:cs="Times New Roman"/>
          <w:sz w:val="24"/>
          <w:szCs w:val="24"/>
        </w:rPr>
        <w:t>Scott Miles</w:t>
      </w:r>
      <w:r w:rsidRPr="003C7C3F">
        <w:rPr>
          <w:rFonts w:ascii="Times New Roman" w:eastAsia="Times New Roman" w:hAnsi="Times New Roman" w:cs="Times New Roman"/>
          <w:sz w:val="24"/>
          <w:szCs w:val="24"/>
        </w:rPr>
        <w:t xml:space="preserve">, </w:t>
      </w:r>
      <w:r w:rsidR="003C7C3F" w:rsidRPr="003C7C3F">
        <w:rPr>
          <w:rFonts w:ascii="Times New Roman" w:eastAsia="Times New Roman" w:hAnsi="Times New Roman" w:cs="Baskerville Old Face"/>
          <w:sz w:val="24"/>
          <w:szCs w:val="24"/>
        </w:rPr>
        <w:t>Attorney</w:t>
      </w:r>
    </w:p>
    <w:p w14:paraId="43DBA660" w14:textId="655008C9" w:rsidR="00BA507B" w:rsidRPr="003C7C3F" w:rsidRDefault="003C7C3F" w:rsidP="00BA507B">
      <w:pPr>
        <w:ind w:left="720" w:firstLine="720"/>
        <w:jc w:val="both"/>
        <w:rPr>
          <w:rFonts w:ascii="Times New Roman" w:hAnsi="Times New Roman" w:cs="Times New Roman"/>
          <w:sz w:val="24"/>
          <w:szCs w:val="24"/>
        </w:rPr>
      </w:pPr>
      <w:r w:rsidRPr="003C7C3F">
        <w:rPr>
          <w:rFonts w:ascii="Times New Roman" w:eastAsia="Times New Roman" w:hAnsi="Times New Roman" w:cs="Times New Roman"/>
          <w:sz w:val="24"/>
          <w:szCs w:val="24"/>
        </w:rPr>
        <w:t xml:space="preserve">Legal </w:t>
      </w:r>
      <w:r w:rsidR="00BA507B" w:rsidRPr="003C7C3F">
        <w:rPr>
          <w:rFonts w:ascii="Times New Roman" w:eastAsia="Times New Roman" w:hAnsi="Times New Roman" w:cs="Times New Roman"/>
          <w:sz w:val="24"/>
          <w:szCs w:val="24"/>
        </w:rPr>
        <w:t>Division</w:t>
      </w:r>
    </w:p>
    <w:p w14:paraId="5C8A7F79" w14:textId="77777777" w:rsidR="00BA507B" w:rsidRPr="003C7C3F" w:rsidRDefault="00BA507B" w:rsidP="00BA507B">
      <w:pPr>
        <w:tabs>
          <w:tab w:val="left" w:pos="1440"/>
        </w:tabs>
        <w:jc w:val="both"/>
        <w:rPr>
          <w:rFonts w:ascii="Times New Roman" w:hAnsi="Times New Roman" w:cs="Times New Roman"/>
          <w:sz w:val="24"/>
          <w:szCs w:val="24"/>
        </w:rPr>
      </w:pPr>
    </w:p>
    <w:p w14:paraId="362D611A" w14:textId="4155E217" w:rsidR="001847B0" w:rsidRDefault="00BA507B" w:rsidP="002633BD">
      <w:pPr>
        <w:jc w:val="both"/>
        <w:rPr>
          <w:rFonts w:ascii="Times New Roman" w:eastAsia="Times New Roman" w:hAnsi="Times New Roman" w:cs="Times New Roman"/>
          <w:sz w:val="24"/>
          <w:szCs w:val="24"/>
        </w:rPr>
      </w:pPr>
      <w:r w:rsidRPr="003C7C3F">
        <w:rPr>
          <w:rFonts w:ascii="Times New Roman" w:hAnsi="Times New Roman" w:cs="Times New Roman"/>
          <w:b/>
          <w:sz w:val="24"/>
          <w:szCs w:val="24"/>
        </w:rPr>
        <w:t>FROM:</w:t>
      </w:r>
      <w:r w:rsidRPr="003C7C3F">
        <w:rPr>
          <w:rFonts w:ascii="Times New Roman" w:hAnsi="Times New Roman" w:cs="Times New Roman"/>
          <w:b/>
          <w:sz w:val="24"/>
          <w:szCs w:val="24"/>
        </w:rPr>
        <w:tab/>
      </w:r>
      <w:r w:rsidR="001847B0" w:rsidRPr="003C7C3F">
        <w:rPr>
          <w:rFonts w:ascii="Times New Roman" w:hAnsi="Times New Roman" w:cs="Times New Roman"/>
          <w:bCs/>
          <w:sz w:val="24"/>
          <w:szCs w:val="24"/>
        </w:rPr>
        <w:t>Fred Bednarski III</w:t>
      </w:r>
      <w:r w:rsidR="001847B0" w:rsidRPr="003C7C3F">
        <w:rPr>
          <w:rFonts w:ascii="Times New Roman" w:eastAsia="Times New Roman" w:hAnsi="Times New Roman" w:cs="Baskerville Old Face"/>
          <w:bCs/>
          <w:sz w:val="24"/>
          <w:szCs w:val="24"/>
        </w:rPr>
        <w:t>,</w:t>
      </w:r>
      <w:r w:rsidR="001847B0" w:rsidRPr="003C7C3F">
        <w:rPr>
          <w:rFonts w:ascii="Times New Roman" w:eastAsia="Times New Roman" w:hAnsi="Times New Roman" w:cs="Baskerville Old Face"/>
          <w:sz w:val="24"/>
          <w:szCs w:val="24"/>
        </w:rPr>
        <w:t xml:space="preserve"> Financial Analyst</w:t>
      </w:r>
    </w:p>
    <w:p w14:paraId="3B4B85F5" w14:textId="60FF1DF6" w:rsidR="00BA507B" w:rsidRPr="003C7C3F" w:rsidRDefault="00BA507B" w:rsidP="00BA507B">
      <w:pPr>
        <w:ind w:left="1440"/>
        <w:jc w:val="both"/>
        <w:rPr>
          <w:rFonts w:ascii="Times New Roman" w:eastAsia="Times New Roman" w:hAnsi="Times New Roman" w:cs="Times New Roman"/>
          <w:sz w:val="24"/>
          <w:szCs w:val="24"/>
        </w:rPr>
      </w:pPr>
      <w:r w:rsidRPr="003C7C3F">
        <w:rPr>
          <w:rFonts w:ascii="Times New Roman" w:eastAsia="Times New Roman" w:hAnsi="Times New Roman" w:cs="Times New Roman"/>
          <w:sz w:val="24"/>
          <w:szCs w:val="24"/>
        </w:rPr>
        <w:t>Rate Regulation Division</w:t>
      </w:r>
    </w:p>
    <w:p w14:paraId="5B5EEAC2" w14:textId="77777777" w:rsidR="00BA507B" w:rsidRPr="003C7C3F" w:rsidRDefault="00BA507B" w:rsidP="00BA507B">
      <w:pPr>
        <w:tabs>
          <w:tab w:val="left" w:pos="1170"/>
        </w:tabs>
        <w:jc w:val="both"/>
        <w:outlineLvl w:val="0"/>
        <w:rPr>
          <w:rFonts w:ascii="Times New Roman" w:hAnsi="Times New Roman" w:cs="Times New Roman"/>
          <w:sz w:val="24"/>
          <w:szCs w:val="24"/>
        </w:rPr>
      </w:pPr>
    </w:p>
    <w:p w14:paraId="6360FDC0" w14:textId="2CCC13E2" w:rsidR="00BA507B" w:rsidRPr="003C7C3F" w:rsidRDefault="00BA507B" w:rsidP="00BA507B">
      <w:pPr>
        <w:tabs>
          <w:tab w:val="left" w:pos="1170"/>
        </w:tabs>
        <w:jc w:val="both"/>
        <w:rPr>
          <w:rFonts w:ascii="Times New Roman" w:hAnsi="Times New Roman" w:cs="Times New Roman"/>
          <w:bCs/>
          <w:sz w:val="24"/>
          <w:szCs w:val="24"/>
        </w:rPr>
      </w:pPr>
      <w:r w:rsidRPr="003C7C3F">
        <w:rPr>
          <w:rFonts w:ascii="Times New Roman" w:hAnsi="Times New Roman" w:cs="Times New Roman"/>
          <w:b/>
          <w:sz w:val="24"/>
          <w:szCs w:val="24"/>
        </w:rPr>
        <w:t>DATE:</w:t>
      </w:r>
      <w:r w:rsidRPr="003C7C3F">
        <w:rPr>
          <w:rFonts w:ascii="Times New Roman" w:hAnsi="Times New Roman" w:cs="Times New Roman"/>
          <w:b/>
          <w:sz w:val="24"/>
          <w:szCs w:val="24"/>
        </w:rPr>
        <w:tab/>
      </w:r>
      <w:r w:rsidRPr="003C7C3F">
        <w:rPr>
          <w:rFonts w:ascii="Times New Roman" w:hAnsi="Times New Roman" w:cs="Times New Roman"/>
          <w:b/>
          <w:sz w:val="24"/>
          <w:szCs w:val="24"/>
        </w:rPr>
        <w:tab/>
      </w:r>
      <w:r w:rsidR="003C7C3F">
        <w:rPr>
          <w:rFonts w:ascii="Times New Roman" w:hAnsi="Times New Roman" w:cs="Times New Roman"/>
          <w:bCs/>
          <w:sz w:val="24"/>
          <w:szCs w:val="24"/>
        </w:rPr>
        <w:t>November</w:t>
      </w:r>
      <w:r w:rsidRPr="003C7C3F">
        <w:rPr>
          <w:rFonts w:ascii="Times New Roman" w:hAnsi="Times New Roman" w:cs="Times New Roman"/>
          <w:bCs/>
          <w:sz w:val="24"/>
          <w:szCs w:val="24"/>
        </w:rPr>
        <w:t xml:space="preserve"> </w:t>
      </w:r>
      <w:r w:rsidR="003C7C3F">
        <w:rPr>
          <w:rFonts w:ascii="Times New Roman" w:hAnsi="Times New Roman" w:cs="Times New Roman"/>
          <w:bCs/>
          <w:sz w:val="24"/>
          <w:szCs w:val="24"/>
        </w:rPr>
        <w:t>1</w:t>
      </w:r>
      <w:r w:rsidRPr="003C7C3F">
        <w:rPr>
          <w:rFonts w:ascii="Times New Roman" w:hAnsi="Times New Roman" w:cs="Times New Roman"/>
          <w:bCs/>
          <w:sz w:val="24"/>
          <w:szCs w:val="24"/>
        </w:rPr>
        <w:t xml:space="preserve">, </w:t>
      </w:r>
      <w:r w:rsidR="003C7C3F">
        <w:rPr>
          <w:rFonts w:ascii="Times New Roman" w:hAnsi="Times New Roman" w:cs="Times New Roman"/>
          <w:bCs/>
          <w:sz w:val="24"/>
          <w:szCs w:val="24"/>
        </w:rPr>
        <w:t>2021</w:t>
      </w:r>
    </w:p>
    <w:p w14:paraId="1AF39076" w14:textId="77777777" w:rsidR="00BA507B" w:rsidRPr="003C7C3F" w:rsidRDefault="00BA507B" w:rsidP="00BA507B">
      <w:pPr>
        <w:tabs>
          <w:tab w:val="left" w:pos="1170"/>
        </w:tabs>
        <w:jc w:val="both"/>
        <w:rPr>
          <w:rFonts w:ascii="Times New Roman" w:hAnsi="Times New Roman" w:cs="Times New Roman"/>
          <w:sz w:val="24"/>
          <w:szCs w:val="24"/>
        </w:rPr>
      </w:pPr>
    </w:p>
    <w:p w14:paraId="0CF9ACF4" w14:textId="415DD94E" w:rsidR="00BA507B" w:rsidRDefault="00BA507B" w:rsidP="00BA507B">
      <w:pPr>
        <w:pBdr>
          <w:bottom w:val="single" w:sz="4" w:space="1" w:color="auto"/>
        </w:pBdr>
        <w:ind w:left="1440" w:hanging="1440"/>
        <w:jc w:val="both"/>
        <w:rPr>
          <w:rFonts w:ascii="Times New Roman" w:eastAsia="Times New Roman" w:hAnsi="Times New Roman" w:cs="Times New Roman"/>
          <w:bCs/>
          <w:i/>
          <w:sz w:val="24"/>
          <w:szCs w:val="24"/>
        </w:rPr>
      </w:pPr>
      <w:r w:rsidRPr="003C7C3F">
        <w:rPr>
          <w:rFonts w:ascii="Times New Roman" w:hAnsi="Times New Roman" w:cs="Times New Roman"/>
          <w:b/>
          <w:sz w:val="24"/>
          <w:szCs w:val="24"/>
        </w:rPr>
        <w:t>RE:</w:t>
      </w:r>
      <w:r w:rsidRPr="003C7C3F">
        <w:rPr>
          <w:rFonts w:ascii="Times New Roman" w:hAnsi="Times New Roman" w:cs="Times New Roman"/>
          <w:b/>
          <w:sz w:val="24"/>
          <w:szCs w:val="24"/>
        </w:rPr>
        <w:tab/>
      </w:r>
      <w:r w:rsidRPr="001847B0">
        <w:rPr>
          <w:rFonts w:ascii="Times New Roman" w:eastAsia="Times New Roman" w:hAnsi="Times New Roman" w:cs="Times New Roman"/>
          <w:bCs/>
          <w:sz w:val="24"/>
          <w:szCs w:val="24"/>
        </w:rPr>
        <w:t xml:space="preserve">Docket No. </w:t>
      </w:r>
      <w:r w:rsidR="003C7C3F" w:rsidRPr="001847B0">
        <w:rPr>
          <w:rFonts w:ascii="Times New Roman" w:eastAsia="Times New Roman" w:hAnsi="Times New Roman" w:cs="Times New Roman"/>
          <w:bCs/>
          <w:sz w:val="24"/>
          <w:szCs w:val="24"/>
        </w:rPr>
        <w:t>52281</w:t>
      </w:r>
      <w:r w:rsidRPr="001847B0">
        <w:rPr>
          <w:bCs/>
          <w:sz w:val="24"/>
          <w:szCs w:val="24"/>
        </w:rPr>
        <w:t xml:space="preserve"> - </w:t>
      </w:r>
      <w:r w:rsidR="001847B0">
        <w:rPr>
          <w:rFonts w:ascii="Times New Roman" w:eastAsia="Times New Roman" w:hAnsi="Times New Roman" w:cs="Times New Roman"/>
          <w:bCs/>
          <w:i/>
          <w:sz w:val="24"/>
          <w:szCs w:val="24"/>
        </w:rPr>
        <w:t>Application of Kendall West Utility, LLC, Bandera East Utility</w:t>
      </w:r>
      <w:r w:rsidR="00BD37C7">
        <w:rPr>
          <w:rFonts w:ascii="Times New Roman" w:eastAsia="Times New Roman" w:hAnsi="Times New Roman" w:cs="Times New Roman"/>
          <w:bCs/>
          <w:i/>
          <w:sz w:val="24"/>
          <w:szCs w:val="24"/>
        </w:rPr>
        <w:t xml:space="preserve"> Company</w:t>
      </w:r>
      <w:r w:rsidR="001847B0">
        <w:rPr>
          <w:rFonts w:ascii="Times New Roman" w:eastAsia="Times New Roman" w:hAnsi="Times New Roman" w:cs="Times New Roman"/>
          <w:bCs/>
          <w:i/>
          <w:sz w:val="24"/>
          <w:szCs w:val="24"/>
        </w:rPr>
        <w:t>, LP and SJWT</w:t>
      </w:r>
      <w:r w:rsidR="0015431C">
        <w:rPr>
          <w:rFonts w:ascii="Times New Roman" w:eastAsia="Times New Roman" w:hAnsi="Times New Roman" w:cs="Times New Roman"/>
          <w:bCs/>
          <w:i/>
          <w:sz w:val="24"/>
          <w:szCs w:val="24"/>
        </w:rPr>
        <w:t>X</w:t>
      </w:r>
      <w:r w:rsidR="001847B0">
        <w:rPr>
          <w:rFonts w:ascii="Times New Roman" w:eastAsia="Times New Roman" w:hAnsi="Times New Roman" w:cs="Times New Roman"/>
          <w:bCs/>
          <w:i/>
          <w:sz w:val="24"/>
          <w:szCs w:val="24"/>
        </w:rPr>
        <w:t>, Inc. for Sale, Transfer, or Merger of Facilities and Certificate Rights in Kendall, Bandera, and Medina Counties</w:t>
      </w:r>
    </w:p>
    <w:p w14:paraId="50EF4D4C" w14:textId="07753434" w:rsidR="001847B0" w:rsidRDefault="001847B0" w:rsidP="00BA507B">
      <w:pPr>
        <w:pBdr>
          <w:bottom w:val="single" w:sz="4" w:space="1" w:color="auto"/>
        </w:pBdr>
        <w:ind w:left="1440" w:hanging="1440"/>
        <w:jc w:val="both"/>
        <w:rPr>
          <w:rFonts w:ascii="Times New Roman" w:hAnsi="Times New Roman" w:cs="Times New Roman"/>
          <w:b/>
          <w:bCs/>
          <w:sz w:val="24"/>
          <w:szCs w:val="24"/>
        </w:rPr>
      </w:pPr>
    </w:p>
    <w:p w14:paraId="36606F54" w14:textId="4BDF97CF" w:rsidR="001847B0" w:rsidRPr="001847B0" w:rsidRDefault="001847B0" w:rsidP="00BA507B">
      <w:pPr>
        <w:pBdr>
          <w:bottom w:val="single" w:sz="4" w:space="1" w:color="auto"/>
        </w:pBdr>
        <w:ind w:left="1440" w:hanging="1440"/>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Recommendation for Bandera East Utility, LP Application on Approval of Sale</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54171E51" w14:textId="77777777" w:rsidR="00B11F78" w:rsidRDefault="00B11F78">
      <w:pPr>
        <w:pStyle w:val="BodyText"/>
        <w:spacing w:after="0"/>
        <w:jc w:val="both"/>
        <w:rPr>
          <w:rFonts w:ascii="Calibri" w:hAnsi="Calibri" w:cs="Calibri"/>
          <w:b/>
          <w:bCs/>
        </w:rPr>
      </w:pPr>
    </w:p>
    <w:p w14:paraId="36306882" w14:textId="336CD26D" w:rsidR="00337428" w:rsidRPr="00630EEB" w:rsidRDefault="00B11F78">
      <w:pPr>
        <w:pStyle w:val="BodyText"/>
        <w:spacing w:after="0"/>
        <w:jc w:val="both"/>
        <w:rPr>
          <w:rFonts w:ascii="Times New Roman" w:hAnsi="Times New Roman" w:cs="Times New Roman"/>
        </w:rPr>
      </w:pPr>
      <w:r w:rsidRPr="00B11F78">
        <w:rPr>
          <w:rFonts w:ascii="Times New Roman" w:hAnsi="Times New Roman" w:cs="Times New Roman"/>
        </w:rPr>
        <w:t>On June 28, 2021, SJWTX, Inc. (SJWTX) and Bandera East Utility, LP (BE</w:t>
      </w:r>
      <w:r w:rsidR="00BD37C7">
        <w:rPr>
          <w:rFonts w:ascii="Times New Roman" w:hAnsi="Times New Roman" w:cs="Times New Roman"/>
        </w:rPr>
        <w:t>U</w:t>
      </w:r>
      <w:r w:rsidRPr="00B11F78">
        <w:rPr>
          <w:rFonts w:ascii="Times New Roman" w:hAnsi="Times New Roman" w:cs="Times New Roman"/>
        </w:rPr>
        <w:t>) filed an application for the sale, transfer, or merger of facilities and water certificate rights</w:t>
      </w:r>
      <w:r w:rsidR="002A3E3C">
        <w:rPr>
          <w:rFonts w:ascii="Times New Roman" w:hAnsi="Times New Roman" w:cs="Times New Roman"/>
        </w:rPr>
        <w:t xml:space="preserve"> in</w:t>
      </w:r>
      <w:r w:rsidRPr="00B11F78">
        <w:rPr>
          <w:rFonts w:ascii="Times New Roman" w:hAnsi="Times New Roman" w:cs="Times New Roman"/>
        </w:rPr>
        <w:t xml:space="preserve"> Bandera and Medina counties.  </w:t>
      </w:r>
    </w:p>
    <w:p w14:paraId="783B3B15" w14:textId="77777777" w:rsidR="00B11F78" w:rsidRDefault="00B11F78">
      <w:pPr>
        <w:pStyle w:val="BodyText"/>
        <w:spacing w:after="0"/>
        <w:jc w:val="both"/>
        <w:rPr>
          <w:rFonts w:ascii="Times New Roman" w:hAnsi="Times New Roman" w:cs="Times New Roman"/>
        </w:rPr>
      </w:pPr>
    </w:p>
    <w:p w14:paraId="7A26236E" w14:textId="0B77CA4A"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B11F78">
        <w:rPr>
          <w:rFonts w:ascii="Times New Roman" w:hAnsi="Times New Roman" w:cs="Times New Roman"/>
        </w:rPr>
        <w:t>SJWTX</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w:t>
      </w:r>
      <w:r w:rsidR="00D51CF4">
        <w:rPr>
          <w:rFonts w:ascii="Times New Roman" w:hAnsi="Times New Roman" w:cs="Times New Roman"/>
        </w:rPr>
        <w:t xml:space="preserve"> as well as</w:t>
      </w:r>
      <w:r w:rsidR="006D4EC1">
        <w:rPr>
          <w:rFonts w:ascii="Times New Roman" w:hAnsi="Times New Roman" w:cs="Times New Roman"/>
        </w:rPr>
        <w:t xml:space="preserve"> </w:t>
      </w:r>
      <w:r w:rsidR="00BD37C7">
        <w:rPr>
          <w:rFonts w:ascii="Times New Roman" w:hAnsi="Times New Roman" w:cs="Times New Roman"/>
        </w:rPr>
        <w:t xml:space="preserve">to the area subject to </w:t>
      </w:r>
      <w:r w:rsidR="006D4EC1">
        <w:rPr>
          <w:rFonts w:ascii="Times New Roman" w:hAnsi="Times New Roman" w:cs="Times New Roman"/>
        </w:rPr>
        <w:t>SJWTX’s</w:t>
      </w:r>
      <w:r w:rsidR="00D51CF4">
        <w:rPr>
          <w:rFonts w:ascii="Times New Roman" w:hAnsi="Times New Roman" w:cs="Times New Roman"/>
        </w:rPr>
        <w:t xml:space="preserve"> additional application filed in </w:t>
      </w:r>
      <w:r w:rsidR="006D4EC1">
        <w:rPr>
          <w:rFonts w:ascii="Times New Roman" w:hAnsi="Times New Roman" w:cs="Times New Roman"/>
        </w:rPr>
        <w:t>this docket to purchase Kendall West Utility</w:t>
      </w:r>
      <w:r w:rsidR="00BD37C7">
        <w:rPr>
          <w:rFonts w:ascii="Times New Roman" w:hAnsi="Times New Roman" w:cs="Times New Roman"/>
        </w:rPr>
        <w:t>, LLC</w:t>
      </w:r>
      <w:r w:rsidR="006D4EC1">
        <w:rPr>
          <w:rFonts w:ascii="Times New Roman" w:hAnsi="Times New Roman" w:cs="Times New Roman"/>
        </w:rPr>
        <w:t>’s</w:t>
      </w:r>
      <w:r w:rsidR="006469E1">
        <w:rPr>
          <w:rFonts w:ascii="Times New Roman" w:hAnsi="Times New Roman" w:cs="Times New Roman"/>
        </w:rPr>
        <w:t xml:space="preserve"> (KWU)</w:t>
      </w:r>
      <w:r w:rsidR="006D4EC1">
        <w:rPr>
          <w:rFonts w:ascii="Times New Roman" w:hAnsi="Times New Roman" w:cs="Times New Roman"/>
        </w:rPr>
        <w:t xml:space="preserve"> water and sewer certificates rights and facilities in Kendall county</w:t>
      </w:r>
      <w:r w:rsidR="0010716A" w:rsidRPr="00630EEB">
        <w:rPr>
          <w:rFonts w:ascii="Times New Roman" w:hAnsi="Times New Roman" w:cs="Times New Roman"/>
        </w:rPr>
        <w:t xml:space="preserve">.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w:t>
      </w:r>
      <w:r w:rsidR="00B11F78">
        <w:rPr>
          <w:rFonts w:ascii="Times New Roman" w:hAnsi="Times New Roman" w:cs="Times New Roman"/>
        </w:rPr>
        <w:t xml:space="preserve"> SJWTX</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B11F78">
        <w:rPr>
          <w:rFonts w:ascii="Times New Roman" w:hAnsi="Times New Roman" w:cs="Times New Roman"/>
        </w:rPr>
        <w:t>SJWTX</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1"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1"/>
      <w:r w:rsidR="00D836BB" w:rsidRPr="00630EEB" w:rsidDel="008015E4">
        <w:rPr>
          <w:rStyle w:val="CommentReference"/>
          <w:rFonts w:asciiTheme="minorHAnsi" w:hAnsiTheme="minorHAnsi"/>
        </w:rPr>
        <w:t xml:space="preserve"> </w:t>
      </w:r>
    </w:p>
    <w:p w14:paraId="58FD9609" w14:textId="1DC9D59D"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2"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3"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2"/>
      <w:bookmarkEnd w:id="3"/>
      <w:r w:rsidRPr="00630EEB">
        <w:rPr>
          <w:rFonts w:ascii="Times New Roman" w:eastAsia="Times New Roman" w:hAnsi="Times New Roman" w:cs="Times New Roman"/>
          <w:sz w:val="24"/>
          <w:szCs w:val="24"/>
        </w:rPr>
        <w:t xml:space="preserve">.  </w:t>
      </w:r>
      <w:r w:rsidR="006050CE">
        <w:rPr>
          <w:rFonts w:ascii="Times New Roman" w:eastAsia="Times New Roman" w:hAnsi="Times New Roman" w:cs="Times New Roman"/>
          <w:sz w:val="24"/>
          <w:szCs w:val="24"/>
        </w:rPr>
        <w:t>SJWTX</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065D2140" w:rsidR="00B137BB" w:rsidRDefault="00600CE9" w:rsidP="00680FB0">
      <w:pPr>
        <w:pStyle w:val="BodyText"/>
        <w:spacing w:after="0"/>
        <w:jc w:val="both"/>
        <w:rPr>
          <w:rFonts w:ascii="Times New Roman" w:hAnsi="Times New Roman" w:cs="Times New Roman"/>
        </w:rPr>
      </w:pPr>
      <w:r w:rsidRPr="00D51CF4">
        <w:rPr>
          <w:rFonts w:ascii="Times New Roman" w:eastAsia="Calibri" w:hAnsi="Times New Roman" w:cs="Times New Roman"/>
        </w:rPr>
        <w:t>My</w:t>
      </w:r>
      <w:r w:rsidR="00B137BB" w:rsidRPr="00D51CF4">
        <w:rPr>
          <w:rFonts w:ascii="Times New Roman" w:eastAsia="Calibri" w:hAnsi="Times New Roman" w:cs="Times New Roman"/>
        </w:rPr>
        <w:t xml:space="preserve"> analysis is based on</w:t>
      </w:r>
      <w:r w:rsidR="00401444" w:rsidRPr="00D51CF4">
        <w:rPr>
          <w:rFonts w:ascii="Times New Roman" w:eastAsia="Calibri" w:hAnsi="Times New Roman" w:cs="Times New Roman"/>
        </w:rPr>
        <w:t xml:space="preserve"> SJWTX’s affiliate, SJW Group’s (SJWG)</w:t>
      </w:r>
      <w:r w:rsidR="00B137BB" w:rsidRPr="00D51CF4">
        <w:rPr>
          <w:rFonts w:ascii="Times New Roman" w:eastAsia="Calibri" w:hAnsi="Times New Roman" w:cs="Times New Roman"/>
        </w:rPr>
        <w:t xml:space="preserve"> financial statements ending </w:t>
      </w:r>
      <w:r w:rsidR="00D51CF4" w:rsidRPr="00D51CF4">
        <w:rPr>
          <w:rFonts w:ascii="Times New Roman" w:hAnsi="Times New Roman" w:cs="Times New Roman"/>
        </w:rPr>
        <w:t>December 31</w:t>
      </w:r>
      <w:r w:rsidR="009A0254" w:rsidRPr="00D51CF4">
        <w:rPr>
          <w:rFonts w:ascii="Times New Roman" w:hAnsi="Times New Roman" w:cs="Times New Roman"/>
        </w:rPr>
        <w:t xml:space="preserve">, </w:t>
      </w:r>
      <w:r w:rsidR="00D51CF4" w:rsidRPr="00D51CF4">
        <w:rPr>
          <w:rFonts w:ascii="Times New Roman" w:hAnsi="Times New Roman" w:cs="Times New Roman"/>
        </w:rPr>
        <w:t>2020</w:t>
      </w:r>
      <w:r w:rsidR="00B137BB" w:rsidRPr="00D51CF4">
        <w:rPr>
          <w:rFonts w:ascii="Times New Roman" w:eastAsia="Calibri" w:hAnsi="Times New Roman" w:cs="Times New Roman"/>
        </w:rPr>
        <w:t xml:space="preserve">.  These financial statements </w:t>
      </w:r>
      <w:r w:rsidR="00B137BB" w:rsidRPr="00D51CF4">
        <w:rPr>
          <w:rFonts w:ascii="Times New Roman" w:hAnsi="Times New Roman" w:cs="Times New Roman"/>
        </w:rPr>
        <w:t>contain an unqualified auditor’s opinion from</w:t>
      </w:r>
      <w:r w:rsidR="00401444" w:rsidRPr="00D51CF4">
        <w:rPr>
          <w:rFonts w:ascii="Times New Roman" w:hAnsi="Times New Roman" w:cs="Times New Roman"/>
        </w:rPr>
        <w:t xml:space="preserve"> Deloitte &amp; Touche LLP</w:t>
      </w:r>
      <w:r w:rsidR="00B137BB" w:rsidRPr="00D51CF4">
        <w:rPr>
          <w:rFonts w:ascii="Times New Roman" w:hAnsi="Times New Roman" w:cs="Times New Roman"/>
        </w:rPr>
        <w:t xml:space="preserve"> stat</w:t>
      </w:r>
      <w:r w:rsidRPr="00D51CF4">
        <w:rPr>
          <w:rFonts w:ascii="Times New Roman" w:hAnsi="Times New Roman" w:cs="Times New Roman"/>
        </w:rPr>
        <w:t>ing</w:t>
      </w:r>
      <w:r w:rsidR="00B137BB" w:rsidRPr="00D51CF4">
        <w:rPr>
          <w:rFonts w:ascii="Times New Roman" w:hAnsi="Times New Roman" w:cs="Times New Roman"/>
        </w:rPr>
        <w:t xml:space="preserve"> that the financial statements present fairly, in all material respects, the financial position of </w:t>
      </w:r>
      <w:r w:rsidR="0015431C">
        <w:rPr>
          <w:rFonts w:ascii="Times New Roman" w:hAnsi="Times New Roman" w:cs="Times New Roman"/>
        </w:rPr>
        <w:t>SJWG</w:t>
      </w:r>
      <w:r w:rsidR="00B137BB" w:rsidRPr="00D51CF4">
        <w:rPr>
          <w:rFonts w:ascii="Times New Roman" w:hAnsi="Times New Roman" w:cs="Times New Roman"/>
        </w:rPr>
        <w:t xml:space="preserve"> as of</w:t>
      </w:r>
      <w:r w:rsidR="00C6724F" w:rsidRPr="00D51CF4">
        <w:rPr>
          <w:rFonts w:ascii="Times New Roman" w:hAnsi="Times New Roman" w:cs="Times New Roman"/>
        </w:rPr>
        <w:t xml:space="preserve"> </w:t>
      </w:r>
      <w:r w:rsidR="00401444" w:rsidRPr="00D51CF4">
        <w:rPr>
          <w:rFonts w:ascii="Times New Roman" w:hAnsi="Times New Roman" w:cs="Times New Roman"/>
        </w:rPr>
        <w:t>December</w:t>
      </w:r>
      <w:r w:rsidR="009A0254" w:rsidRPr="00D51CF4">
        <w:rPr>
          <w:rFonts w:ascii="Times New Roman" w:hAnsi="Times New Roman" w:cs="Times New Roman"/>
        </w:rPr>
        <w:t xml:space="preserve"> </w:t>
      </w:r>
      <w:r w:rsidR="00401444" w:rsidRPr="00D51CF4">
        <w:rPr>
          <w:rFonts w:ascii="Times New Roman" w:hAnsi="Times New Roman" w:cs="Times New Roman"/>
        </w:rPr>
        <w:t>31</w:t>
      </w:r>
      <w:r w:rsidR="009A0254" w:rsidRPr="00D51CF4">
        <w:rPr>
          <w:rFonts w:ascii="Times New Roman" w:hAnsi="Times New Roman" w:cs="Times New Roman"/>
        </w:rPr>
        <w:t xml:space="preserve">, </w:t>
      </w:r>
      <w:r w:rsidR="00401444" w:rsidRPr="00D51CF4">
        <w:rPr>
          <w:rFonts w:ascii="Times New Roman" w:hAnsi="Times New Roman" w:cs="Times New Roman"/>
        </w:rPr>
        <w:t>2020</w:t>
      </w:r>
      <w:r w:rsidR="00C6724F" w:rsidRPr="00D51CF4">
        <w:rPr>
          <w:rFonts w:ascii="Times New Roman" w:hAnsi="Times New Roman" w:cs="Times New Roman"/>
        </w:rPr>
        <w:t>.</w:t>
      </w:r>
    </w:p>
    <w:p w14:paraId="229A7215" w14:textId="1A17468E" w:rsidR="00D51CF4" w:rsidRDefault="00D51CF4" w:rsidP="00680FB0">
      <w:pPr>
        <w:pStyle w:val="BodyText"/>
        <w:spacing w:after="0"/>
        <w:jc w:val="both"/>
        <w:rPr>
          <w:rFonts w:ascii="Times New Roman" w:hAnsi="Times New Roman" w:cs="Times New Roman"/>
        </w:rPr>
      </w:pPr>
    </w:p>
    <w:p w14:paraId="497608F7" w14:textId="77777777" w:rsidR="00D834FF" w:rsidRDefault="00D834FF" w:rsidP="00680FB0">
      <w:pPr>
        <w:pStyle w:val="BodyText"/>
        <w:spacing w:after="0"/>
        <w:jc w:val="both"/>
        <w:rPr>
          <w:rFonts w:ascii="Times New Roman" w:hAnsi="Times New Roman" w:cs="Times New Roman"/>
        </w:rPr>
      </w:pPr>
    </w:p>
    <w:p w14:paraId="09FA6E89" w14:textId="46A1D505" w:rsidR="00D51CF4" w:rsidRPr="00D51CF4" w:rsidRDefault="00D51CF4" w:rsidP="00680FB0">
      <w:pPr>
        <w:pStyle w:val="BodyText"/>
        <w:spacing w:after="0"/>
        <w:jc w:val="both"/>
        <w:rPr>
          <w:rFonts w:ascii="Times New Roman" w:hAnsi="Times New Roman" w:cs="Times New Roman"/>
        </w:rPr>
      </w:pPr>
      <w:r>
        <w:rPr>
          <w:rFonts w:ascii="Times New Roman" w:hAnsi="Times New Roman" w:cs="Times New Roman"/>
        </w:rPr>
        <w:lastRenderedPageBreak/>
        <w:t>SJWG</w:t>
      </w:r>
      <w:r w:rsidRPr="00D51CF4">
        <w:rPr>
          <w:rFonts w:ascii="Times New Roman" w:hAnsi="Times New Roman" w:cs="Times New Roman"/>
        </w:rPr>
        <w:t xml:space="preserve">’s financial statements, </w:t>
      </w:r>
      <w:r w:rsidR="00BD37C7">
        <w:rPr>
          <w:rFonts w:ascii="Times New Roman" w:hAnsi="Times New Roman" w:cs="Times New Roman"/>
        </w:rPr>
        <w:t>analyzed</w:t>
      </w:r>
      <w:r w:rsidR="00BD37C7" w:rsidRPr="00D51CF4">
        <w:rPr>
          <w:rFonts w:ascii="Times New Roman" w:hAnsi="Times New Roman" w:cs="Times New Roman"/>
        </w:rPr>
        <w:t xml:space="preserve"> </w:t>
      </w:r>
      <w:r w:rsidRPr="00D51CF4">
        <w:rPr>
          <w:rFonts w:ascii="Times New Roman" w:hAnsi="Times New Roman" w:cs="Times New Roman"/>
        </w:rPr>
        <w:t>in confidential Attachment FB-1, report a debt</w:t>
      </w:r>
      <w:r>
        <w:rPr>
          <w:rFonts w:ascii="Times New Roman" w:hAnsi="Times New Roman" w:cs="Times New Roman"/>
        </w:rPr>
        <w:t xml:space="preserve"> service coverage</w:t>
      </w:r>
      <w:r w:rsidRPr="00D51CF4">
        <w:rPr>
          <w:rFonts w:ascii="Times New Roman" w:hAnsi="Times New Roman" w:cs="Times New Roman"/>
        </w:rPr>
        <w:t xml:space="preserve"> ratio of </w:t>
      </w:r>
      <w:r>
        <w:rPr>
          <w:rFonts w:ascii="Times New Roman" w:hAnsi="Times New Roman" w:cs="Times New Roman"/>
        </w:rPr>
        <w:t>1</w:t>
      </w:r>
      <w:r w:rsidRPr="00D51CF4">
        <w:rPr>
          <w:rFonts w:ascii="Times New Roman" w:hAnsi="Times New Roman" w:cs="Times New Roman"/>
        </w:rPr>
        <w:t>.</w:t>
      </w:r>
      <w:r>
        <w:rPr>
          <w:rFonts w:ascii="Times New Roman" w:hAnsi="Times New Roman" w:cs="Times New Roman"/>
        </w:rPr>
        <w:t>58</w:t>
      </w:r>
      <w:r w:rsidRPr="00D51CF4">
        <w:rPr>
          <w:rFonts w:ascii="Times New Roman" w:hAnsi="Times New Roman" w:cs="Times New Roman"/>
        </w:rPr>
        <w:t xml:space="preserve">.  Because the ratio is </w:t>
      </w:r>
      <w:r>
        <w:rPr>
          <w:rFonts w:ascii="Times New Roman" w:hAnsi="Times New Roman" w:cs="Times New Roman"/>
        </w:rPr>
        <w:t>greater</w:t>
      </w:r>
      <w:r w:rsidRPr="00D51CF4">
        <w:rPr>
          <w:rFonts w:ascii="Times New Roman" w:hAnsi="Times New Roman" w:cs="Times New Roman"/>
        </w:rPr>
        <w:t xml:space="preserve"> than 1.</w:t>
      </w:r>
      <w:r>
        <w:rPr>
          <w:rFonts w:ascii="Times New Roman" w:hAnsi="Times New Roman" w:cs="Times New Roman"/>
        </w:rPr>
        <w:t>25</w:t>
      </w:r>
      <w:r w:rsidRPr="00D51CF4">
        <w:rPr>
          <w:rFonts w:ascii="Times New Roman" w:hAnsi="Times New Roman" w:cs="Times New Roman"/>
        </w:rPr>
        <w:t>, S</w:t>
      </w:r>
      <w:r>
        <w:rPr>
          <w:rFonts w:ascii="Times New Roman" w:hAnsi="Times New Roman" w:cs="Times New Roman"/>
        </w:rPr>
        <w:t>J</w:t>
      </w:r>
      <w:r w:rsidRPr="00D51CF4">
        <w:rPr>
          <w:rFonts w:ascii="Times New Roman" w:hAnsi="Times New Roman" w:cs="Times New Roman"/>
        </w:rPr>
        <w:t>W</w:t>
      </w:r>
      <w:r>
        <w:rPr>
          <w:rFonts w:ascii="Times New Roman" w:hAnsi="Times New Roman" w:cs="Times New Roman"/>
        </w:rPr>
        <w:t>G</w:t>
      </w:r>
      <w:r w:rsidRPr="00D51CF4">
        <w:rPr>
          <w:rFonts w:ascii="Times New Roman" w:hAnsi="Times New Roman" w:cs="Times New Roman"/>
        </w:rPr>
        <w:t xml:space="preserve"> meets the </w:t>
      </w:r>
      <w:r w:rsidR="00276E21">
        <w:rPr>
          <w:rFonts w:ascii="Times New Roman" w:hAnsi="Times New Roman" w:cs="Times New Roman"/>
        </w:rPr>
        <w:t xml:space="preserve">leverage </w:t>
      </w:r>
      <w:r w:rsidRPr="00D51CF4">
        <w:rPr>
          <w:rFonts w:ascii="Times New Roman" w:hAnsi="Times New Roman" w:cs="Times New Roman"/>
        </w:rPr>
        <w:t>test specified in 16 TAC § 24.11(e)(2)(</w:t>
      </w:r>
      <w:r>
        <w:rPr>
          <w:rFonts w:ascii="Times New Roman" w:hAnsi="Times New Roman" w:cs="Times New Roman"/>
        </w:rPr>
        <w:t>B</w:t>
      </w:r>
      <w:r w:rsidRPr="00D51CF4">
        <w:rPr>
          <w:rFonts w:ascii="Times New Roman" w:hAnsi="Times New Roman" w:cs="Times New Roman"/>
        </w:rPr>
        <w:t>).  S</w:t>
      </w:r>
      <w:r>
        <w:rPr>
          <w:rFonts w:ascii="Times New Roman" w:hAnsi="Times New Roman" w:cs="Times New Roman"/>
        </w:rPr>
        <w:t>J</w:t>
      </w:r>
      <w:r w:rsidRPr="00D51CF4">
        <w:rPr>
          <w:rFonts w:ascii="Times New Roman" w:hAnsi="Times New Roman" w:cs="Times New Roman"/>
        </w:rPr>
        <w:t>W</w:t>
      </w:r>
      <w:r>
        <w:rPr>
          <w:rFonts w:ascii="Times New Roman" w:hAnsi="Times New Roman" w:cs="Times New Roman"/>
        </w:rPr>
        <w:t>G</w:t>
      </w:r>
      <w:r w:rsidRPr="00D51CF4">
        <w:rPr>
          <w:rFonts w:ascii="Times New Roman" w:hAnsi="Times New Roman" w:cs="Times New Roman"/>
        </w:rPr>
        <w:t xml:space="preserve"> is also capable, available, and willing to cover temporary cash shortages.</w:t>
      </w:r>
      <w:r w:rsidR="00D61117">
        <w:rPr>
          <w:rStyle w:val="FootnoteReference"/>
          <w:rFonts w:ascii="Times New Roman" w:hAnsi="Times New Roman" w:cs="Times New Roman"/>
        </w:rPr>
        <w:footnoteReference w:id="1"/>
      </w:r>
      <w:r w:rsidRPr="00D51CF4">
        <w:rPr>
          <w:rFonts w:ascii="Times New Roman" w:hAnsi="Times New Roman" w:cs="Times New Roman"/>
        </w:rPr>
        <w:t xml:space="preserve">  Therefore,</w:t>
      </w:r>
      <w:r>
        <w:rPr>
          <w:rFonts w:ascii="Times New Roman" w:hAnsi="Times New Roman" w:cs="Times New Roman"/>
        </w:rPr>
        <w:t xml:space="preserve"> </w:t>
      </w:r>
      <w:r w:rsidR="00276E21">
        <w:rPr>
          <w:rFonts w:ascii="Times New Roman" w:hAnsi="Times New Roman" w:cs="Times New Roman"/>
        </w:rPr>
        <w:t xml:space="preserve">through its affiliate, </w:t>
      </w:r>
      <w:r>
        <w:rPr>
          <w:rFonts w:ascii="Times New Roman" w:hAnsi="Times New Roman" w:cs="Times New Roman"/>
        </w:rPr>
        <w:t>SJWTX</w:t>
      </w:r>
      <w:r w:rsidRPr="00D51CF4">
        <w:rPr>
          <w:rFonts w:ascii="Times New Roman" w:hAnsi="Times New Roman" w:cs="Times New Roman"/>
        </w:rPr>
        <w:t xml:space="preserve"> meets the </w:t>
      </w:r>
      <w:r w:rsidR="00276E21">
        <w:rPr>
          <w:rFonts w:ascii="Times New Roman" w:hAnsi="Times New Roman" w:cs="Times New Roman"/>
        </w:rPr>
        <w:t xml:space="preserve">leverage </w:t>
      </w:r>
      <w:r w:rsidRPr="00D51CF4">
        <w:rPr>
          <w:rFonts w:ascii="Times New Roman" w:hAnsi="Times New Roman" w:cs="Times New Roman"/>
        </w:rPr>
        <w:t xml:space="preserve">test specified in 16 TAC § 24.11(e)(2)(E).  </w:t>
      </w:r>
    </w:p>
    <w:p w14:paraId="0904BBF0" w14:textId="77777777" w:rsidR="00B137BB" w:rsidRPr="009A0254" w:rsidRDefault="00B137BB" w:rsidP="00630EEB">
      <w:pPr>
        <w:contextualSpacing/>
        <w:jc w:val="both"/>
        <w:rPr>
          <w:rFonts w:ascii="Times New Roman" w:eastAsia="Calibri" w:hAnsi="Times New Roman" w:cs="Times New Roman"/>
          <w:sz w:val="24"/>
          <w:szCs w:val="24"/>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1108114E" w14:textId="77777777" w:rsidR="00AB5345" w:rsidRDefault="00AB5345">
      <w:pPr>
        <w:jc w:val="both"/>
        <w:rPr>
          <w:rFonts w:ascii="Times New Roman" w:eastAsia="Calibri" w:hAnsi="Times New Roman" w:cs="Times New Roman"/>
          <w:sz w:val="24"/>
          <w:szCs w:val="24"/>
        </w:rPr>
      </w:pPr>
    </w:p>
    <w:p w14:paraId="26C7C65A" w14:textId="445F4C4E" w:rsidR="00AB5345" w:rsidRDefault="005313A7">
      <w:pPr>
        <w:jc w:val="both"/>
        <w:rPr>
          <w:rFonts w:ascii="Times New Roman" w:eastAsia="Times New Roman" w:hAnsi="Times New Roman" w:cs="Times New Roman"/>
          <w:sz w:val="24"/>
          <w:szCs w:val="24"/>
        </w:rPr>
      </w:pPr>
      <w:r w:rsidRPr="005313A7">
        <w:rPr>
          <w:rFonts w:ascii="Times New Roman" w:eastAsia="Times New Roman" w:hAnsi="Times New Roman" w:cs="Times New Roman"/>
          <w:sz w:val="24"/>
          <w:szCs w:val="24"/>
        </w:rPr>
        <w:t xml:space="preserve">SJWG’s financial statements include operating income and cash flow information that indicate the </w:t>
      </w:r>
      <w:r w:rsidR="0015431C">
        <w:rPr>
          <w:rFonts w:ascii="Times New Roman" w:eastAsia="Times New Roman" w:hAnsi="Times New Roman" w:cs="Times New Roman"/>
          <w:sz w:val="24"/>
          <w:szCs w:val="24"/>
        </w:rPr>
        <w:t>SJWG</w:t>
      </w:r>
      <w:r w:rsidRPr="005313A7">
        <w:rPr>
          <w:rFonts w:ascii="Times New Roman" w:eastAsia="Times New Roman" w:hAnsi="Times New Roman" w:cs="Times New Roman"/>
          <w:sz w:val="24"/>
          <w:szCs w:val="24"/>
        </w:rPr>
        <w:t xml:space="preserve"> will have sufficient cash to cover projected shortages as provided in confidential Attachment FB-1.</w:t>
      </w:r>
    </w:p>
    <w:p w14:paraId="5AEA373C" w14:textId="77777777" w:rsidR="005313A7" w:rsidRDefault="005313A7">
      <w:pPr>
        <w:jc w:val="both"/>
        <w:rPr>
          <w:rFonts w:ascii="Times New Roman" w:eastAsia="Times New Roman" w:hAnsi="Times New Roman" w:cs="Times New Roman"/>
          <w:sz w:val="24"/>
          <w:szCs w:val="24"/>
        </w:rPr>
      </w:pPr>
    </w:p>
    <w:p w14:paraId="591128CF" w14:textId="79EBA323" w:rsidR="00B137BB" w:rsidRPr="00630EEB" w:rsidRDefault="000633EE">
      <w:pPr>
        <w:jc w:val="both"/>
        <w:rPr>
          <w:rFonts w:ascii="Times New Roman" w:eastAsia="Calibri" w:hAnsi="Times New Roman" w:cs="Times New Roman"/>
          <w:sz w:val="24"/>
          <w:szCs w:val="24"/>
        </w:rPr>
      </w:pPr>
      <w:r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sidR="005313A7">
        <w:rPr>
          <w:rFonts w:ascii="Times New Roman" w:eastAsia="Calibri" w:hAnsi="Times New Roman" w:cs="Times New Roman"/>
          <w:b/>
          <w:bCs/>
          <w:sz w:val="24"/>
          <w:szCs w:val="24"/>
        </w:rPr>
        <w:t xml:space="preserve">  </w:t>
      </w:r>
      <w:r w:rsidR="005313A7" w:rsidRPr="005313A7">
        <w:rPr>
          <w:rFonts w:ascii="Times New Roman" w:eastAsia="Calibri" w:hAnsi="Times New Roman" w:cs="Times New Roman"/>
          <w:sz w:val="24"/>
          <w:szCs w:val="24"/>
        </w:rPr>
        <w:t>SJWG generates sufficient income</w:t>
      </w:r>
      <w:r w:rsidR="005313A7">
        <w:rPr>
          <w:rFonts w:ascii="Times New Roman" w:eastAsia="Calibri" w:hAnsi="Times New Roman" w:cs="Times New Roman"/>
          <w:sz w:val="24"/>
          <w:szCs w:val="24"/>
        </w:rPr>
        <w:t xml:space="preserve"> and has the ability </w:t>
      </w:r>
      <w:r w:rsidR="00D61117">
        <w:rPr>
          <w:rFonts w:ascii="Times New Roman" w:eastAsia="Calibri" w:hAnsi="Times New Roman" w:cs="Times New Roman"/>
          <w:sz w:val="24"/>
          <w:szCs w:val="24"/>
        </w:rPr>
        <w:t xml:space="preserve">to </w:t>
      </w:r>
      <w:r w:rsidR="005313A7">
        <w:rPr>
          <w:rFonts w:ascii="Times New Roman" w:eastAsia="Calibri" w:hAnsi="Times New Roman" w:cs="Times New Roman"/>
          <w:sz w:val="24"/>
          <w:szCs w:val="24"/>
        </w:rPr>
        <w:t>issue additional equity, as provided in confidential Attachment FB-1,</w:t>
      </w:r>
      <w:r w:rsidR="005313A7" w:rsidRPr="005313A7">
        <w:rPr>
          <w:rFonts w:ascii="Times New Roman" w:eastAsia="Calibri" w:hAnsi="Times New Roman" w:cs="Times New Roman"/>
          <w:sz w:val="24"/>
          <w:szCs w:val="24"/>
        </w:rPr>
        <w:t xml:space="preserve"> </w:t>
      </w:r>
      <w:r w:rsidR="00D61117">
        <w:rPr>
          <w:rFonts w:ascii="Times New Roman" w:eastAsia="Calibri" w:hAnsi="Times New Roman" w:cs="Times New Roman"/>
          <w:sz w:val="24"/>
          <w:szCs w:val="24"/>
        </w:rPr>
        <w:t xml:space="preserve">and </w:t>
      </w:r>
      <w:r w:rsidR="005313A7" w:rsidRPr="005313A7">
        <w:rPr>
          <w:rFonts w:ascii="Times New Roman" w:eastAsia="Calibri" w:hAnsi="Times New Roman" w:cs="Times New Roman"/>
          <w:sz w:val="24"/>
          <w:szCs w:val="24"/>
        </w:rPr>
        <w:t xml:space="preserve">to cover the purchase price of </w:t>
      </w:r>
      <w:r w:rsidR="00785C64">
        <w:rPr>
          <w:rFonts w:ascii="Times New Roman" w:eastAsia="Calibri" w:hAnsi="Times New Roman" w:cs="Times New Roman"/>
          <w:sz w:val="24"/>
          <w:szCs w:val="24"/>
        </w:rPr>
        <w:t>BE</w:t>
      </w:r>
      <w:r w:rsidR="00BD37C7">
        <w:rPr>
          <w:rFonts w:ascii="Times New Roman" w:eastAsia="Calibri" w:hAnsi="Times New Roman" w:cs="Times New Roman"/>
          <w:sz w:val="24"/>
          <w:szCs w:val="24"/>
        </w:rPr>
        <w:t>U</w:t>
      </w:r>
      <w:r w:rsidR="005313A7" w:rsidRPr="005313A7">
        <w:rPr>
          <w:rFonts w:ascii="Times New Roman" w:eastAsia="Calibri" w:hAnsi="Times New Roman" w:cs="Times New Roman"/>
          <w:sz w:val="24"/>
          <w:szCs w:val="24"/>
        </w:rPr>
        <w:t xml:space="preserve"> </w:t>
      </w:r>
      <w:r w:rsidR="005313A7">
        <w:rPr>
          <w:rFonts w:ascii="Times New Roman" w:eastAsia="Calibri" w:hAnsi="Times New Roman" w:cs="Times New Roman"/>
          <w:sz w:val="24"/>
          <w:szCs w:val="24"/>
        </w:rPr>
        <w:t>as well as</w:t>
      </w:r>
      <w:r w:rsidR="005313A7" w:rsidRPr="005313A7">
        <w:rPr>
          <w:rFonts w:ascii="Times New Roman" w:eastAsia="Calibri" w:hAnsi="Times New Roman" w:cs="Times New Roman"/>
          <w:sz w:val="24"/>
          <w:szCs w:val="24"/>
        </w:rPr>
        <w:t xml:space="preserve"> the purchase price of the additional application</w:t>
      </w:r>
      <w:r w:rsidR="00BD37C7">
        <w:rPr>
          <w:rFonts w:ascii="Times New Roman" w:eastAsia="Calibri" w:hAnsi="Times New Roman" w:cs="Times New Roman"/>
          <w:sz w:val="24"/>
          <w:szCs w:val="24"/>
        </w:rPr>
        <w:t>, submitted in this docket,</w:t>
      </w:r>
      <w:r w:rsidR="005313A7" w:rsidRPr="005313A7">
        <w:rPr>
          <w:rFonts w:ascii="Times New Roman" w:eastAsia="Calibri" w:hAnsi="Times New Roman" w:cs="Times New Roman"/>
          <w:sz w:val="24"/>
          <w:szCs w:val="24"/>
        </w:rPr>
        <w:t xml:space="preserve"> to purchase K</w:t>
      </w:r>
      <w:r w:rsidR="006469E1">
        <w:rPr>
          <w:rFonts w:ascii="Times New Roman" w:eastAsia="Calibri" w:hAnsi="Times New Roman" w:cs="Times New Roman"/>
          <w:sz w:val="24"/>
          <w:szCs w:val="24"/>
        </w:rPr>
        <w:t>WU</w:t>
      </w:r>
      <w:r w:rsidR="005313A7">
        <w:rPr>
          <w:rFonts w:ascii="Times New Roman" w:eastAsia="Calibri" w:hAnsi="Times New Roman" w:cs="Times New Roman"/>
          <w:sz w:val="24"/>
          <w:szCs w:val="24"/>
        </w:rPr>
        <w:t xml:space="preserve">.  </w:t>
      </w:r>
      <w:r w:rsidR="00767B20">
        <w:rPr>
          <w:rFonts w:ascii="Times New Roman" w:eastAsia="Calibri" w:hAnsi="Times New Roman" w:cs="Times New Roman"/>
          <w:sz w:val="24"/>
          <w:szCs w:val="24"/>
        </w:rPr>
        <w:t>Furthermore, SJWG signed a letter of intended financing to make a capital contribution into SJWTX that will be used to finance the transactions and any cash shortages.</w:t>
      </w:r>
      <w:r w:rsidR="005C3CDD">
        <w:rPr>
          <w:rStyle w:val="FootnoteReference"/>
          <w:rFonts w:ascii="Times New Roman" w:eastAsia="Calibri" w:hAnsi="Times New Roman" w:cs="Times New Roman"/>
          <w:sz w:val="24"/>
          <w:szCs w:val="24"/>
        </w:rPr>
        <w:footnoteReference w:id="2"/>
      </w:r>
      <w:r w:rsidR="00767B20">
        <w:rPr>
          <w:rFonts w:ascii="Times New Roman" w:eastAsia="Calibri" w:hAnsi="Times New Roman" w:cs="Times New Roman"/>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187764">
        <w:rPr>
          <w:rFonts w:ascii="Times New Roman" w:eastAsia="Calibri" w:hAnsi="Times New Roman" w:cs="Times New Roman"/>
          <w:bCs/>
          <w:sz w:val="24"/>
          <w:szCs w:val="24"/>
        </w:rPr>
        <w:t>SJWTX</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0A19BD17"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187764">
        <w:rPr>
          <w:rFonts w:ascii="Times New Roman" w:hAnsi="Times New Roman" w:cs="Times New Roman"/>
          <w:sz w:val="24"/>
          <w:szCs w:val="24"/>
        </w:rPr>
        <w:t>SJWTX</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FD61C" w14:textId="77777777" w:rsidR="00AC5ED6" w:rsidRDefault="00AC5ED6" w:rsidP="00FC14B8">
      <w:r>
        <w:separator/>
      </w:r>
    </w:p>
  </w:endnote>
  <w:endnote w:type="continuationSeparator" w:id="0">
    <w:p w14:paraId="63235C0B" w14:textId="77777777" w:rsidR="00AC5ED6" w:rsidRDefault="00AC5ED6"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52B9B" w14:textId="77777777" w:rsidR="00AC5ED6" w:rsidRDefault="00AC5ED6" w:rsidP="00FC14B8">
      <w:r>
        <w:separator/>
      </w:r>
    </w:p>
  </w:footnote>
  <w:footnote w:type="continuationSeparator" w:id="0">
    <w:p w14:paraId="1CFFE9AA" w14:textId="77777777" w:rsidR="00AC5ED6" w:rsidRDefault="00AC5ED6" w:rsidP="00FC14B8">
      <w:r>
        <w:continuationSeparator/>
      </w:r>
    </w:p>
  </w:footnote>
  <w:footnote w:id="1">
    <w:p w14:paraId="25DE2271" w14:textId="5C238CC1" w:rsidR="00D61117" w:rsidRDefault="00D61117" w:rsidP="002633BD">
      <w:pPr>
        <w:pStyle w:val="FootnoteText"/>
        <w:spacing w:before="0" w:after="120"/>
        <w:jc w:val="both"/>
      </w:pPr>
      <w:r>
        <w:rPr>
          <w:rFonts w:ascii="Times New Roman" w:hAnsi="Times New Roman" w:cs="Times New Roman"/>
        </w:rPr>
        <w:tab/>
      </w:r>
      <w:r w:rsidRPr="00716DB6">
        <w:rPr>
          <w:rStyle w:val="FootnoteReference"/>
          <w:rFonts w:ascii="Times New Roman" w:hAnsi="Times New Roman" w:cs="Times New Roman"/>
        </w:rPr>
        <w:footnoteRef/>
      </w:r>
      <w:r>
        <w:rPr>
          <w:rFonts w:ascii="Times New Roman" w:hAnsi="Times New Roman" w:cs="Times New Roman"/>
        </w:rPr>
        <w:t xml:space="preserve">   </w:t>
      </w:r>
      <w:r w:rsidRPr="00D530B1">
        <w:rPr>
          <w:rFonts w:ascii="Times New Roman" w:hAnsi="Times New Roman" w:cs="Times New Roman"/>
        </w:rPr>
        <w:t xml:space="preserve">Confidential Information for Attachment A (Supplemental Filing Pages at 3 and 4) and Attachment B (Supplemental Filing Page 5) of Applicant's Supplemental Application Information, Bates Stamp </w:t>
      </w:r>
      <w:r>
        <w:rPr>
          <w:rFonts w:ascii="Times New Roman" w:hAnsi="Times New Roman" w:cs="Times New Roman"/>
        </w:rPr>
        <w:t xml:space="preserve">at </w:t>
      </w:r>
      <w:r w:rsidRPr="00D530B1">
        <w:rPr>
          <w:rFonts w:ascii="Times New Roman" w:hAnsi="Times New Roman" w:cs="Times New Roman"/>
        </w:rPr>
        <w:t>5</w:t>
      </w:r>
      <w:r>
        <w:rPr>
          <w:rFonts w:ascii="Times New Roman" w:hAnsi="Times New Roman" w:cs="Times New Roman"/>
        </w:rPr>
        <w:t xml:space="preserve"> (Oct. 25, 2021)</w:t>
      </w:r>
      <w:r w:rsidR="00767B20">
        <w:rPr>
          <w:rFonts w:ascii="Times New Roman" w:hAnsi="Times New Roman" w:cs="Times New Roman"/>
        </w:rPr>
        <w:t>.</w:t>
      </w:r>
    </w:p>
  </w:footnote>
  <w:footnote w:id="2">
    <w:p w14:paraId="6808D737" w14:textId="12D9B213" w:rsidR="005C3CDD" w:rsidRPr="002633BD" w:rsidRDefault="005C3CDD" w:rsidP="002633BD">
      <w:pPr>
        <w:pStyle w:val="FootnoteText"/>
        <w:spacing w:before="0" w:after="120"/>
        <w:rPr>
          <w:rFonts w:ascii="Times New Roman" w:hAnsi="Times New Roman" w:cs="Times New Roman"/>
        </w:rPr>
      </w:pPr>
      <w:r>
        <w:tab/>
      </w:r>
      <w:r w:rsidRPr="002633BD">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w:t>
      </w:r>
      <w:r w:rsidRPr="002633BD">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76A425B4"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D51CF4">
      <w:rPr>
        <w:rFonts w:ascii="Times New Roman" w:hAnsi="Times New Roman" w:cs="Times New Roman"/>
        <w:sz w:val="20"/>
        <w:szCs w:val="20"/>
      </w:rPr>
      <w:t xml:space="preserve">Docket No. </w:t>
    </w:r>
    <w:r w:rsidR="00D51CF4" w:rsidRPr="00D51CF4">
      <w:rPr>
        <w:rFonts w:ascii="Times New Roman" w:hAnsi="Times New Roman" w:cs="Times New Roman"/>
        <w:sz w:val="20"/>
        <w:szCs w:val="20"/>
      </w:rPr>
      <w:t>52281</w:t>
    </w:r>
    <w:r w:rsidRPr="00D51CF4">
      <w:rPr>
        <w:rFonts w:ascii="Times New Roman" w:hAnsi="Times New Roman" w:cs="Times New Roman"/>
        <w:sz w:val="20"/>
        <w:szCs w:val="20"/>
      </w:rPr>
      <w:tab/>
      <w:t xml:space="preserve">Memorandum of </w:t>
    </w:r>
    <w:r w:rsidR="00D51CF4" w:rsidRPr="00D51CF4">
      <w:rPr>
        <w:rFonts w:ascii="Times New Roman" w:hAnsi="Times New Roman" w:cs="Times New Roman"/>
        <w:sz w:val="20"/>
        <w:szCs w:val="20"/>
      </w:rPr>
      <w:t>Fred Bednarski III</w:t>
    </w:r>
    <w:r w:rsidRPr="00D51CF4">
      <w:rPr>
        <w:rFonts w:ascii="Times New Roman" w:hAnsi="Times New Roman" w:cs="Times New Roman"/>
        <w:sz w:val="20"/>
        <w:szCs w:val="20"/>
      </w:rPr>
      <w:t xml:space="preserve"> (</w:t>
    </w:r>
    <w:r w:rsidR="00D51CF4">
      <w:rPr>
        <w:rFonts w:ascii="Times New Roman" w:hAnsi="Times New Roman" w:cs="Times New Roman"/>
        <w:sz w:val="20"/>
        <w:szCs w:val="20"/>
      </w:rPr>
      <w:t>Novem</w:t>
    </w:r>
    <w:r w:rsidR="00D51CF4" w:rsidRPr="00D51CF4">
      <w:rPr>
        <w:rFonts w:ascii="Times New Roman" w:hAnsi="Times New Roman" w:cs="Times New Roman"/>
        <w:sz w:val="20"/>
        <w:szCs w:val="20"/>
      </w:rPr>
      <w:t>ber</w:t>
    </w:r>
    <w:r w:rsidRPr="00D51CF4">
      <w:rPr>
        <w:rFonts w:ascii="Times New Roman" w:hAnsi="Times New Roman" w:cs="Times New Roman"/>
        <w:sz w:val="20"/>
        <w:szCs w:val="20"/>
      </w:rPr>
      <w:t xml:space="preserve"> </w:t>
    </w:r>
    <w:r w:rsidR="00D51CF4">
      <w:rPr>
        <w:rFonts w:ascii="Times New Roman" w:hAnsi="Times New Roman" w:cs="Times New Roman"/>
        <w:sz w:val="20"/>
        <w:szCs w:val="20"/>
      </w:rPr>
      <w:t>1</w:t>
    </w:r>
    <w:r w:rsidRPr="00D51CF4">
      <w:rPr>
        <w:rFonts w:ascii="Times New Roman" w:hAnsi="Times New Roman" w:cs="Times New Roman"/>
        <w:sz w:val="20"/>
        <w:szCs w:val="20"/>
      </w:rPr>
      <w:t xml:space="preserve">, </w:t>
    </w:r>
    <w:r w:rsidR="00D51CF4" w:rsidRPr="00D51CF4">
      <w:rPr>
        <w:rFonts w:ascii="Times New Roman" w:hAnsi="Times New Roman" w:cs="Times New Roman"/>
        <w:sz w:val="20"/>
        <w:szCs w:val="20"/>
      </w:rPr>
      <w:t>2021</w:t>
    </w:r>
    <w:r w:rsidRPr="00D51CF4">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D51CF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4"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4"/>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31C"/>
    <w:rsid w:val="00154BB2"/>
    <w:rsid w:val="001577AA"/>
    <w:rsid w:val="001677BF"/>
    <w:rsid w:val="00177EDF"/>
    <w:rsid w:val="00180FC5"/>
    <w:rsid w:val="00181110"/>
    <w:rsid w:val="0018209E"/>
    <w:rsid w:val="001843B5"/>
    <w:rsid w:val="001847B0"/>
    <w:rsid w:val="0018607B"/>
    <w:rsid w:val="00187764"/>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33BD"/>
    <w:rsid w:val="002661F1"/>
    <w:rsid w:val="00267310"/>
    <w:rsid w:val="00267527"/>
    <w:rsid w:val="002677C4"/>
    <w:rsid w:val="00276E21"/>
    <w:rsid w:val="00277306"/>
    <w:rsid w:val="00280E5D"/>
    <w:rsid w:val="00285FE2"/>
    <w:rsid w:val="00290054"/>
    <w:rsid w:val="00291F3A"/>
    <w:rsid w:val="00297D38"/>
    <w:rsid w:val="002A16CF"/>
    <w:rsid w:val="002A2334"/>
    <w:rsid w:val="002A3E3C"/>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C7C3F"/>
    <w:rsid w:val="003F0E3A"/>
    <w:rsid w:val="003F4564"/>
    <w:rsid w:val="003F5ABB"/>
    <w:rsid w:val="0040075B"/>
    <w:rsid w:val="00401444"/>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13A7"/>
    <w:rsid w:val="00532021"/>
    <w:rsid w:val="0053215C"/>
    <w:rsid w:val="0053486D"/>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3CDD"/>
    <w:rsid w:val="005C41A3"/>
    <w:rsid w:val="005C75FB"/>
    <w:rsid w:val="005E0C7D"/>
    <w:rsid w:val="005E0EE6"/>
    <w:rsid w:val="005F337F"/>
    <w:rsid w:val="005F575F"/>
    <w:rsid w:val="005F7ECC"/>
    <w:rsid w:val="00600CE9"/>
    <w:rsid w:val="006050CE"/>
    <w:rsid w:val="006126FB"/>
    <w:rsid w:val="006148D9"/>
    <w:rsid w:val="00623D56"/>
    <w:rsid w:val="00624074"/>
    <w:rsid w:val="00630EEB"/>
    <w:rsid w:val="00635B2E"/>
    <w:rsid w:val="0063710C"/>
    <w:rsid w:val="006415BF"/>
    <w:rsid w:val="006469E1"/>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D4EC1"/>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67B20"/>
    <w:rsid w:val="0077034A"/>
    <w:rsid w:val="00785C64"/>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520"/>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978A5"/>
    <w:rsid w:val="009A0254"/>
    <w:rsid w:val="009A03C7"/>
    <w:rsid w:val="009A08B5"/>
    <w:rsid w:val="009A3367"/>
    <w:rsid w:val="009B573B"/>
    <w:rsid w:val="009C014D"/>
    <w:rsid w:val="009D0615"/>
    <w:rsid w:val="009D1C58"/>
    <w:rsid w:val="009D413A"/>
    <w:rsid w:val="009E01AB"/>
    <w:rsid w:val="009E0E58"/>
    <w:rsid w:val="009E24A8"/>
    <w:rsid w:val="009E3F12"/>
    <w:rsid w:val="009F7FE3"/>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C5ED6"/>
    <w:rsid w:val="00AE1FF0"/>
    <w:rsid w:val="00AE2F96"/>
    <w:rsid w:val="00AE640A"/>
    <w:rsid w:val="00AF3DA4"/>
    <w:rsid w:val="00B010E0"/>
    <w:rsid w:val="00B11F78"/>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D37C7"/>
    <w:rsid w:val="00BE37E9"/>
    <w:rsid w:val="00BE7E6F"/>
    <w:rsid w:val="00BF000E"/>
    <w:rsid w:val="00BF3DFB"/>
    <w:rsid w:val="00C005AE"/>
    <w:rsid w:val="00C0542C"/>
    <w:rsid w:val="00C123A6"/>
    <w:rsid w:val="00C14D77"/>
    <w:rsid w:val="00C17D1B"/>
    <w:rsid w:val="00C30E87"/>
    <w:rsid w:val="00C31DB1"/>
    <w:rsid w:val="00C34E47"/>
    <w:rsid w:val="00C35F54"/>
    <w:rsid w:val="00C4245F"/>
    <w:rsid w:val="00C42818"/>
    <w:rsid w:val="00C470A8"/>
    <w:rsid w:val="00C52E2C"/>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222CE"/>
    <w:rsid w:val="00D36E5C"/>
    <w:rsid w:val="00D373E3"/>
    <w:rsid w:val="00D44331"/>
    <w:rsid w:val="00D51C27"/>
    <w:rsid w:val="00D51CF4"/>
    <w:rsid w:val="00D53590"/>
    <w:rsid w:val="00D55F65"/>
    <w:rsid w:val="00D61117"/>
    <w:rsid w:val="00D6648E"/>
    <w:rsid w:val="00D737E8"/>
    <w:rsid w:val="00D8061B"/>
    <w:rsid w:val="00D82F2D"/>
    <w:rsid w:val="00D834FF"/>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2021-11-01T15:08:00Z</dcterms:created>
  <dcterms:modified xsi:type="dcterms:W3CDTF">2021-11-01T15:09:00Z</dcterms:modified>
</cp:coreProperties>
</file>